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0B5AFE5" w:rsidP="32D8BFF8" w:rsidRDefault="10B5AFE5" w14:noSpellErr="1" w14:paraId="391624A5" w14:textId="57B61952">
      <w:pPr>
        <w:jc w:val="center"/>
        <w:rPr>
          <w:b w:val="1"/>
          <w:bCs w:val="1"/>
          <w:sz w:val="28"/>
          <w:szCs w:val="28"/>
        </w:rPr>
      </w:pPr>
      <w:r w:rsidRPr="32D8BFF8" w:rsidR="10B5AFE5">
        <w:rPr>
          <w:b w:val="1"/>
          <w:bCs w:val="1"/>
          <w:sz w:val="28"/>
          <w:szCs w:val="28"/>
        </w:rPr>
        <w:t>Making Museum Professionals Workshop 1, 23 May 2023</w:t>
      </w:r>
    </w:p>
    <w:p w:rsidR="10B5AFE5" w:rsidP="32D8BFF8" w:rsidRDefault="10B5AFE5" w14:noSpellErr="1" w14:paraId="7AB5352C" w14:textId="4F081A13">
      <w:pPr>
        <w:jc w:val="center"/>
        <w:rPr>
          <w:b w:val="1"/>
          <w:bCs w:val="1"/>
          <w:sz w:val="28"/>
          <w:szCs w:val="28"/>
        </w:rPr>
      </w:pPr>
      <w:r w:rsidRPr="32D8BFF8" w:rsidR="10B5AFE5">
        <w:rPr>
          <w:b w:val="1"/>
          <w:bCs w:val="1"/>
          <w:sz w:val="28"/>
          <w:szCs w:val="28"/>
        </w:rPr>
        <w:t>Museum Work: Hierarchies and Barriers, Exclusion and Inclusion</w:t>
      </w:r>
    </w:p>
    <w:p w:rsidR="10B5AFE5" w:rsidP="32D8BFF8" w:rsidRDefault="10B5AFE5" w14:paraId="013A14C0" w14:textId="35E9059C">
      <w:pPr>
        <w:jc w:val="center"/>
        <w:rPr>
          <w:rFonts w:ascii="Calibri" w:hAnsi="Calibri" w:eastAsia="Calibri" w:cs="Calibri"/>
        </w:rPr>
      </w:pPr>
      <w:r w:rsidR="10B5AFE5">
        <w:rPr/>
        <w:t xml:space="preserve">Birkbeck, University of London - </w:t>
      </w:r>
      <w:r w:rsidRPr="32D8BFF8" w:rsidR="10B5AFE5">
        <w:rPr>
          <w:rFonts w:ascii="Calibri" w:hAnsi="Calibri" w:eastAsia="Calibri" w:cs="Calibri"/>
          <w:color w:val="000000" w:themeColor="text1" w:themeTint="FF" w:themeShade="FF"/>
        </w:rPr>
        <w:t>Keynes Library, 39-47 Gordon Square (School of Arts), Bloomsbury, London, WC1H 0PN</w:t>
      </w:r>
    </w:p>
    <w:p w:rsidR="16391BFC" w:rsidP="32D8BFF8" w:rsidRDefault="16391BFC" w14:paraId="59CF0012" w14:textId="131CE4BD">
      <w:pPr>
        <w:pStyle w:val="Normal"/>
        <w:jc w:val="center"/>
      </w:pPr>
    </w:p>
    <w:p w:rsidR="71EE0CAD" w:rsidP="793FBFE9" w:rsidRDefault="71EE0CAD" w14:paraId="263B6C07" w14:textId="5947C2D9">
      <w:pPr>
        <w:rPr>
          <w:u w:val="single"/>
        </w:rPr>
      </w:pPr>
      <w:r w:rsidRPr="793FBFE9">
        <w:rPr>
          <w:u w:val="single"/>
        </w:rPr>
        <w:t>Programme</w:t>
      </w:r>
    </w:p>
    <w:p w:rsidR="006712B6" w:rsidRDefault="006712B6" w14:paraId="6DF8D64C" w14:textId="77777777">
      <w:r>
        <w:t>9.30-10.00</w:t>
      </w:r>
      <w:r>
        <w:tab/>
      </w:r>
      <w:r w:rsidRPr="793FBFE9">
        <w:rPr>
          <w:b/>
          <w:bCs/>
        </w:rPr>
        <w:t>Arrival, refreshments and registration</w:t>
      </w:r>
    </w:p>
    <w:p w:rsidR="006712B6" w:rsidRDefault="006712B6" w14:paraId="7E421658" w14:textId="77777777">
      <w:r>
        <w:t>10.00-10.15</w:t>
      </w:r>
      <w:r>
        <w:tab/>
      </w:r>
      <w:r w:rsidRPr="793FBFE9">
        <w:rPr>
          <w:b/>
          <w:bCs/>
        </w:rPr>
        <w:t>Welcome</w:t>
      </w:r>
    </w:p>
    <w:p w:rsidR="006712B6" w:rsidP="793FBFE9" w:rsidRDefault="006712B6" w14:paraId="0443BFB1" w14:textId="15529385">
      <w:r>
        <w:t>10.15-10.45</w:t>
      </w:r>
      <w:r>
        <w:tab/>
      </w:r>
      <w:r w:rsidRPr="793FBFE9">
        <w:rPr>
          <w:b/>
          <w:bCs/>
        </w:rPr>
        <w:t>Keynote 1</w:t>
      </w:r>
      <w:r>
        <w:t xml:space="preserve"> </w:t>
      </w:r>
      <w:r w:rsidR="4BEB8710">
        <w:t xml:space="preserve">Dr </w:t>
      </w:r>
      <w:r>
        <w:t>Errol Francis</w:t>
      </w:r>
      <w:r w:rsidR="4E5A0481">
        <w:t xml:space="preserve"> </w:t>
      </w:r>
      <w:r w:rsidR="170A2FFC">
        <w:t>(Artistic Director and CEO, Culture&amp;)</w:t>
      </w:r>
    </w:p>
    <w:p w:rsidR="006712B6" w:rsidP="793FBFE9" w:rsidRDefault="4E5A0481" w14:paraId="48602E2C" w14:textId="2C5D8EEF">
      <w:pPr>
        <w:ind w:left="720" w:firstLine="720"/>
        <w:rPr>
          <w:rFonts w:eastAsiaTheme="minorEastAsia"/>
          <w:i/>
          <w:iCs/>
        </w:rPr>
      </w:pPr>
      <w:r w:rsidRPr="793FBFE9">
        <w:rPr>
          <w:rFonts w:eastAsiaTheme="minorEastAsia"/>
          <w:i/>
          <w:iCs/>
          <w:color w:val="000000" w:themeColor="text1"/>
        </w:rPr>
        <w:t>Towards inclusivity and relevance in UK arts and heritage</w:t>
      </w:r>
    </w:p>
    <w:p w:rsidR="006712B6" w:rsidP="793FBFE9" w:rsidRDefault="006712B6" w14:paraId="1C7522F7" w14:textId="55E65E97">
      <w:r>
        <w:t>10.45-12.00</w:t>
      </w:r>
      <w:r>
        <w:tab/>
      </w:r>
      <w:r w:rsidRPr="793FBFE9">
        <w:rPr>
          <w:b/>
          <w:bCs/>
        </w:rPr>
        <w:t>Session 1</w:t>
      </w:r>
      <w:r>
        <w:t xml:space="preserve"> </w:t>
      </w:r>
      <w:r w:rsidR="24544D7F">
        <w:t>Creating and contesting professional identities</w:t>
      </w:r>
    </w:p>
    <w:p w:rsidR="00471225" w:rsidP="793FBFE9" w:rsidRDefault="00471225" w14:paraId="01C7B0CF" w14:textId="0835A63D">
      <w:r>
        <w:tab/>
      </w:r>
      <w:r>
        <w:tab/>
      </w:r>
      <w:r>
        <w:t xml:space="preserve">Chair – </w:t>
      </w:r>
      <w:proofErr w:type="spellStart"/>
      <w:r>
        <w:t>Nushelle</w:t>
      </w:r>
      <w:proofErr w:type="spellEnd"/>
      <w:r>
        <w:t xml:space="preserve"> de Silva</w:t>
      </w:r>
    </w:p>
    <w:p w:rsidR="24544D7F" w:rsidP="793FBFE9" w:rsidRDefault="24544D7F" w14:paraId="4D834B95" w14:textId="46064557">
      <w:pPr>
        <w:ind w:firstLine="1440"/>
        <w:rPr>
          <w:rFonts w:ascii="Calibri" w:hAnsi="Calibri" w:eastAsia="Calibri" w:cs="Calibri"/>
          <w:i/>
          <w:iCs/>
        </w:rPr>
      </w:pPr>
      <w:r>
        <w:t xml:space="preserve">Kirsty </w:t>
      </w:r>
      <w:proofErr w:type="spellStart"/>
      <w:r>
        <w:t>Kernohan</w:t>
      </w:r>
      <w:proofErr w:type="spellEnd"/>
      <w:r w:rsidR="74A7A0DD">
        <w:t>,</w:t>
      </w:r>
      <w:r>
        <w:t xml:space="preserve"> </w:t>
      </w:r>
      <w:r w:rsidRPr="793FBFE9" w:rsidR="463432E1">
        <w:rPr>
          <w:rFonts w:ascii="Calibri" w:hAnsi="Calibri" w:eastAsia="Calibri" w:cs="Calibri"/>
          <w:i/>
          <w:iCs/>
        </w:rPr>
        <w:t xml:space="preserve">‘An excellent guide to her own museum’: intersections of women’s </w:t>
      </w:r>
      <w:r>
        <w:tab/>
      </w:r>
      <w:r>
        <w:tab/>
      </w:r>
      <w:r w:rsidRPr="793FBFE9" w:rsidR="463432E1">
        <w:rPr>
          <w:rFonts w:ascii="Calibri" w:hAnsi="Calibri" w:eastAsia="Calibri" w:cs="Calibri"/>
          <w:i/>
          <w:iCs/>
        </w:rPr>
        <w:t>knowledge and racism on a visit to the Royal Victoria Institute, Trinidad, 1897</w:t>
      </w:r>
    </w:p>
    <w:p w:rsidR="24544D7F" w:rsidP="793FBFE9" w:rsidRDefault="24544D7F" w14:paraId="6726665B" w14:textId="5C2CB11C">
      <w:pPr>
        <w:ind w:firstLine="1440"/>
      </w:pPr>
      <w:proofErr w:type="spellStart"/>
      <w:r>
        <w:t>Hoyee</w:t>
      </w:r>
      <w:proofErr w:type="spellEnd"/>
      <w:r>
        <w:t xml:space="preserve"> </w:t>
      </w:r>
      <w:proofErr w:type="spellStart"/>
      <w:r>
        <w:t>Tse</w:t>
      </w:r>
      <w:proofErr w:type="spellEnd"/>
      <w:r w:rsidR="6E18B242">
        <w:t xml:space="preserve">, </w:t>
      </w:r>
      <w:r w:rsidRPr="793FBFE9" w:rsidR="13AE2A0B">
        <w:rPr>
          <w:i/>
          <w:iCs/>
        </w:rPr>
        <w:t xml:space="preserve">Diversification and Diversity: </w:t>
      </w:r>
      <w:proofErr w:type="gramStart"/>
      <w:r w:rsidRPr="793FBFE9" w:rsidR="13AE2A0B">
        <w:rPr>
          <w:i/>
          <w:iCs/>
        </w:rPr>
        <w:t>the</w:t>
      </w:r>
      <w:proofErr w:type="gramEnd"/>
      <w:r w:rsidRPr="793FBFE9" w:rsidR="13AE2A0B">
        <w:rPr>
          <w:i/>
          <w:iCs/>
        </w:rPr>
        <w:t xml:space="preserve"> Employment of Asian Museum </w:t>
      </w:r>
      <w:r>
        <w:tab/>
      </w:r>
      <w:r>
        <w:tab/>
      </w:r>
      <w:r>
        <w:tab/>
      </w:r>
      <w:r w:rsidRPr="793FBFE9" w:rsidR="13AE2A0B">
        <w:rPr>
          <w:i/>
          <w:iCs/>
        </w:rPr>
        <w:t>Professionals in the UK</w:t>
      </w:r>
    </w:p>
    <w:p w:rsidR="24544D7F" w:rsidP="793FBFE9" w:rsidRDefault="24544D7F" w14:paraId="49EFEFEC" w14:textId="3768F471">
      <w:pPr>
        <w:ind w:firstLine="1440"/>
      </w:pPr>
      <w:r w:rsidR="24544D7F">
        <w:rPr/>
        <w:t>Tamsin Russell</w:t>
      </w:r>
      <w:r w:rsidR="66B7A1FD">
        <w:rPr/>
        <w:t xml:space="preserve">, </w:t>
      </w:r>
      <w:r w:rsidRPr="32D8BFF8" w:rsidR="0EBCBD52">
        <w:rPr>
          <w:i w:val="1"/>
          <w:iCs w:val="1"/>
        </w:rPr>
        <w:t>We</w:t>
      </w:r>
      <w:r w:rsidRPr="32D8BFF8" w:rsidR="0EBCBD52">
        <w:rPr>
          <w:i w:val="1"/>
          <w:iCs w:val="1"/>
        </w:rPr>
        <w:t xml:space="preserve"> are where we are – so what next?</w:t>
      </w:r>
      <w:r w:rsidRPr="32D8BFF8" w:rsidR="24544D7F">
        <w:rPr>
          <w:i w:val="1"/>
          <w:iCs w:val="1"/>
        </w:rPr>
        <w:t xml:space="preserve"> </w:t>
      </w:r>
    </w:p>
    <w:p w:rsidR="24544D7F" w:rsidP="793FBFE9" w:rsidRDefault="24544D7F" w14:paraId="3F7D87C8" w14:textId="3ED707CA">
      <w:pPr>
        <w:ind w:firstLine="1440"/>
      </w:pPr>
      <w:r>
        <w:t>Andrea Meyer</w:t>
      </w:r>
      <w:r w:rsidR="29ED94D7">
        <w:t xml:space="preserve">, </w:t>
      </w:r>
      <w:r w:rsidRPr="793FBFE9" w:rsidR="29ED94D7">
        <w:rPr>
          <w:i/>
          <w:iCs/>
        </w:rPr>
        <w:t>Modernizing the Museum</w:t>
      </w:r>
      <w:r w:rsidRPr="793FBFE9" w:rsidR="34D55C7A">
        <w:rPr>
          <w:i/>
          <w:iCs/>
        </w:rPr>
        <w:t xml:space="preserve"> -</w:t>
      </w:r>
      <w:r w:rsidRPr="793FBFE9" w:rsidR="29ED94D7">
        <w:rPr>
          <w:i/>
          <w:iCs/>
        </w:rPr>
        <w:t xml:space="preserve"> Initiatives and Crises of the German </w:t>
      </w:r>
      <w:r>
        <w:tab/>
      </w:r>
      <w:r>
        <w:tab/>
      </w:r>
      <w:r>
        <w:tab/>
      </w:r>
      <w:r w:rsidRPr="793FBFE9" w:rsidR="29ED94D7">
        <w:rPr>
          <w:i/>
          <w:iCs/>
        </w:rPr>
        <w:t>Museums Association (1917-1933)</w:t>
      </w:r>
    </w:p>
    <w:p w:rsidR="006712B6" w:rsidRDefault="006712B6" w14:paraId="70AAEC59" w14:textId="02EECC60">
      <w:r>
        <w:t>12.00-12.30</w:t>
      </w:r>
      <w:r>
        <w:tab/>
      </w:r>
      <w:r w:rsidRPr="793FBFE9">
        <w:rPr>
          <w:b/>
          <w:bCs/>
        </w:rPr>
        <w:t>Keynote 2</w:t>
      </w:r>
      <w:r>
        <w:t xml:space="preserve"> </w:t>
      </w:r>
      <w:r w:rsidR="0EEE97E1">
        <w:t xml:space="preserve">Professor </w:t>
      </w:r>
      <w:r>
        <w:t xml:space="preserve">Fiona </w:t>
      </w:r>
      <w:proofErr w:type="spellStart"/>
      <w:r>
        <w:t>Candlin</w:t>
      </w:r>
      <w:proofErr w:type="spellEnd"/>
      <w:r w:rsidR="7CC338F8">
        <w:t xml:space="preserve"> (</w:t>
      </w:r>
      <w:proofErr w:type="spellStart"/>
      <w:r w:rsidR="7CC338F8">
        <w:t>Birkbeck</w:t>
      </w:r>
      <w:proofErr w:type="spellEnd"/>
      <w:r w:rsidR="7CC338F8">
        <w:t>)</w:t>
      </w:r>
    </w:p>
    <w:p w:rsidR="07DED46D" w:rsidP="32D8BFF8" w:rsidRDefault="07DED46D" w14:paraId="4CA20831" w14:textId="3D1F6D34" w14:noSpellErr="1">
      <w:pPr>
        <w:ind w:left="720" w:firstLine="720"/>
        <w:rPr>
          <w:rFonts w:ascii="Calibri" w:hAnsi="Calibri" w:eastAsia="Calibri" w:cs="Calibri"/>
        </w:rPr>
      </w:pPr>
      <w:r w:rsidRPr="32D8BFF8" w:rsidR="07DED46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DIY Museums: Opportunity and Inequity</w:t>
      </w:r>
    </w:p>
    <w:p w:rsidR="006712B6" w:rsidRDefault="006712B6" w14:paraId="683A04E5" w14:textId="5B6961CA">
      <w:r>
        <w:t>12.30-1.30</w:t>
      </w:r>
      <w:r>
        <w:tab/>
      </w:r>
      <w:r w:rsidRPr="793FBFE9">
        <w:rPr>
          <w:b/>
          <w:bCs/>
        </w:rPr>
        <w:t>Lunch</w:t>
      </w:r>
      <w:r w:rsidR="72723ECF">
        <w:t xml:space="preserve"> (not provided)</w:t>
      </w:r>
    </w:p>
    <w:p w:rsidR="006712B6" w:rsidP="793FBFE9" w:rsidRDefault="006712B6" w14:paraId="233E434C" w14:textId="6DF445B8">
      <w:r>
        <w:t>1.30-2.45</w:t>
      </w:r>
      <w:r>
        <w:tab/>
      </w:r>
      <w:r w:rsidRPr="793FBFE9">
        <w:rPr>
          <w:b/>
          <w:bCs/>
        </w:rPr>
        <w:t>Session 2</w:t>
      </w:r>
      <w:r>
        <w:t xml:space="preserve"> </w:t>
      </w:r>
      <w:r w:rsidR="07541DFA">
        <w:t>Reframing expertise: pay, affiliation and status</w:t>
      </w:r>
    </w:p>
    <w:p w:rsidR="006712B6" w:rsidP="793FBFE9" w:rsidRDefault="0A030036" w14:paraId="151D2ADE" w14:textId="2C43CCE5">
      <w:pPr>
        <w:ind w:left="720" w:firstLine="720"/>
      </w:pPr>
      <w:r>
        <w:t xml:space="preserve">Kathleen </w:t>
      </w:r>
      <w:proofErr w:type="spellStart"/>
      <w:r>
        <w:t>Lawther</w:t>
      </w:r>
      <w:proofErr w:type="spellEnd"/>
      <w:r w:rsidR="2EBC1659">
        <w:t xml:space="preserve">, </w:t>
      </w:r>
      <w:r w:rsidRPr="793FBFE9" w:rsidR="2EBC1659">
        <w:rPr>
          <w:i/>
          <w:iCs/>
        </w:rPr>
        <w:t xml:space="preserve">Motivations, money and management: impacts on collections </w:t>
      </w:r>
      <w:r w:rsidR="006712B6">
        <w:tab/>
      </w:r>
      <w:r w:rsidR="006712B6">
        <w:tab/>
      </w:r>
      <w:r w:rsidRPr="793FBFE9" w:rsidR="2EBC1659">
        <w:rPr>
          <w:i/>
          <w:iCs/>
        </w:rPr>
        <w:t>work</w:t>
      </w:r>
    </w:p>
    <w:p w:rsidR="006712B6" w:rsidP="793FBFE9" w:rsidRDefault="0A030036" w14:paraId="168DF51F" w14:textId="7CB5F044">
      <w:pPr>
        <w:ind w:left="720" w:firstLine="720"/>
        <w:rPr>
          <w:i/>
          <w:iCs/>
        </w:rPr>
      </w:pPr>
      <w:r>
        <w:t xml:space="preserve">Mark </w:t>
      </w:r>
      <w:proofErr w:type="spellStart"/>
      <w:r>
        <w:t>Liebenrood</w:t>
      </w:r>
      <w:proofErr w:type="spellEnd"/>
      <w:r w:rsidR="3E7570FB">
        <w:t>,</w:t>
      </w:r>
      <w:r w:rsidRPr="793FBFE9" w:rsidR="3E7570FB">
        <w:rPr>
          <w:i/>
          <w:iCs/>
        </w:rPr>
        <w:t xml:space="preserve"> Li Yuan-Chia a</w:t>
      </w:r>
      <w:r w:rsidR="000C5FD9">
        <w:rPr>
          <w:i/>
          <w:iCs/>
        </w:rPr>
        <w:t>nd the LYC Museum – an</w:t>
      </w:r>
      <w:r w:rsidRPr="793FBFE9" w:rsidR="3E7570FB">
        <w:rPr>
          <w:i/>
          <w:iCs/>
        </w:rPr>
        <w:t xml:space="preserve"> amateur</w:t>
      </w:r>
      <w:r w:rsidR="000C5FD9">
        <w:rPr>
          <w:i/>
          <w:iCs/>
        </w:rPr>
        <w:t xml:space="preserve"> as artist-</w:t>
      </w:r>
      <w:bookmarkStart w:name="_GoBack" w:id="0"/>
      <w:bookmarkEnd w:id="0"/>
      <w:r w:rsidRPr="793FBFE9" w:rsidR="3E7570FB">
        <w:rPr>
          <w:i/>
          <w:iCs/>
        </w:rPr>
        <w:t>curator?</w:t>
      </w:r>
    </w:p>
    <w:p w:rsidR="006712B6" w:rsidP="793FBFE9" w:rsidRDefault="0A030036" w14:paraId="33FE086A" w14:textId="10F1A330">
      <w:pPr>
        <w:ind w:left="720" w:firstLine="720"/>
      </w:pPr>
      <w:r>
        <w:t xml:space="preserve">Liliana </w:t>
      </w:r>
      <w:proofErr w:type="spellStart"/>
      <w:r>
        <w:t>Milkova</w:t>
      </w:r>
      <w:proofErr w:type="spellEnd"/>
      <w:r w:rsidR="66FA6526">
        <w:t>,</w:t>
      </w:r>
      <w:r w:rsidR="25558DE6">
        <w:t xml:space="preserve"> </w:t>
      </w:r>
      <w:r w:rsidRPr="793FBFE9" w:rsidR="25558DE6">
        <w:rPr>
          <w:i/>
          <w:iCs/>
        </w:rPr>
        <w:t xml:space="preserve">Inclusive Collection Interpretation and the Gallery Guide Program at </w:t>
      </w:r>
      <w:r w:rsidR="006712B6">
        <w:tab/>
      </w:r>
      <w:r w:rsidRPr="793FBFE9" w:rsidR="25558DE6">
        <w:rPr>
          <w:i/>
          <w:iCs/>
        </w:rPr>
        <w:t>the Yale University Art Gallery</w:t>
      </w:r>
    </w:p>
    <w:p w:rsidR="006712B6" w:rsidP="793FBFE9" w:rsidRDefault="07541DFA" w14:paraId="14DABB0E" w14:textId="5F7073C0">
      <w:pPr>
        <w:ind w:left="720" w:firstLine="720"/>
        <w:rPr>
          <w:i/>
          <w:iCs/>
        </w:rPr>
      </w:pPr>
      <w:r>
        <w:t>Amara Thornton</w:t>
      </w:r>
      <w:r w:rsidR="76B3BFC8">
        <w:t xml:space="preserve">, </w:t>
      </w:r>
      <w:r w:rsidRPr="793FBFE9" w:rsidR="76B3BFC8">
        <w:rPr>
          <w:i/>
          <w:iCs/>
        </w:rPr>
        <w:t xml:space="preserve">Museum Lectures in Context: Beyond Notability and the </w:t>
      </w:r>
      <w:r w:rsidR="006712B6">
        <w:tab/>
      </w:r>
      <w:r w:rsidR="006712B6">
        <w:tab/>
      </w:r>
      <w:r w:rsidRPr="793FBFE9" w:rsidR="76B3BFC8">
        <w:rPr>
          <w:i/>
          <w:iCs/>
        </w:rPr>
        <w:t>Peripatetic Lecturer</w:t>
      </w:r>
    </w:p>
    <w:p w:rsidR="006712B6" w:rsidP="793FBFE9" w:rsidRDefault="006712B6" w14:paraId="06BB0544" w14:textId="77777777">
      <w:pPr>
        <w:rPr>
          <w:b/>
          <w:bCs/>
        </w:rPr>
      </w:pPr>
      <w:r>
        <w:t>2.45-3.15</w:t>
      </w:r>
      <w:r>
        <w:tab/>
      </w:r>
      <w:r w:rsidRPr="793FBFE9">
        <w:rPr>
          <w:b/>
          <w:bCs/>
        </w:rPr>
        <w:t>Break, refreshments</w:t>
      </w:r>
    </w:p>
    <w:p w:rsidR="006712B6" w:rsidP="793FBFE9" w:rsidRDefault="006712B6" w14:paraId="4FC5C297" w14:textId="22C0666F">
      <w:r>
        <w:t>3.15-3.45</w:t>
      </w:r>
      <w:r>
        <w:tab/>
      </w:r>
      <w:r w:rsidRPr="793FBFE9">
        <w:rPr>
          <w:b/>
          <w:bCs/>
        </w:rPr>
        <w:t>Keynote 3</w:t>
      </w:r>
      <w:r w:rsidR="221DED0D">
        <w:t xml:space="preserve"> </w:t>
      </w:r>
      <w:r w:rsidRPr="793FBFE9" w:rsidR="221DED0D">
        <w:rPr>
          <w:rFonts w:ascii="Calibri" w:hAnsi="Calibri" w:eastAsia="Calibri" w:cs="Calibri"/>
          <w:color w:val="000000" w:themeColor="text1"/>
        </w:rPr>
        <w:t xml:space="preserve">Louise </w:t>
      </w:r>
      <w:proofErr w:type="spellStart"/>
      <w:r w:rsidRPr="793FBFE9" w:rsidR="221DED0D">
        <w:rPr>
          <w:rFonts w:ascii="Calibri" w:hAnsi="Calibri" w:eastAsia="Calibri" w:cs="Calibri"/>
          <w:color w:val="000000" w:themeColor="text1"/>
        </w:rPr>
        <w:t>McAward</w:t>
      </w:r>
      <w:proofErr w:type="spellEnd"/>
      <w:r w:rsidRPr="793FBFE9" w:rsidR="221DED0D">
        <w:rPr>
          <w:rFonts w:ascii="Calibri" w:hAnsi="Calibri" w:eastAsia="Calibri" w:cs="Calibri"/>
          <w:color w:val="000000" w:themeColor="text1"/>
        </w:rPr>
        <w:t>-White,</w:t>
      </w:r>
      <w:r>
        <w:t xml:space="preserve"> Fair Museum Jobs</w:t>
      </w:r>
    </w:p>
    <w:p w:rsidRPr="00471225" w:rsidR="6680B445" w:rsidP="32D8BFF8" w:rsidRDefault="00471225" w14:paraId="1440E840" w14:textId="630CB6AF" w14:noSpellErr="1">
      <w:pPr>
        <w:ind w:left="720" w:firstLine="720"/>
        <w:rPr>
          <w:i w:val="1"/>
          <w:iCs w:val="1"/>
        </w:rPr>
      </w:pPr>
      <w:r w:rsidRPr="32D8BFF8" w:rsidR="00471225">
        <w:rPr>
          <w:i w:val="1"/>
          <w:iCs w:val="1"/>
        </w:rPr>
        <w:t>Fair Museum Jobs: Challenge and Change in Museum Recruitment Practice</w:t>
      </w:r>
    </w:p>
    <w:p w:rsidR="006712B6" w:rsidRDefault="00D544DC" w14:paraId="70C7003B" w14:textId="5F0A1129">
      <w:r>
        <w:t>3.45-5.15</w:t>
      </w:r>
      <w:r>
        <w:tab/>
      </w:r>
      <w:r w:rsidRPr="793FBFE9">
        <w:rPr>
          <w:b/>
          <w:bCs/>
        </w:rPr>
        <w:t>Session 3</w:t>
      </w:r>
      <w:r>
        <w:t xml:space="preserve"> Representing</w:t>
      </w:r>
      <w:r w:rsidR="006712B6">
        <w:t xml:space="preserve"> the pr</w:t>
      </w:r>
      <w:r>
        <w:t>ofessional: language and image</w:t>
      </w:r>
    </w:p>
    <w:p w:rsidR="006712B6" w:rsidRDefault="006712B6" w14:paraId="7176A64D" w14:textId="669CADA4">
      <w:r>
        <w:lastRenderedPageBreak/>
        <w:tab/>
      </w:r>
      <w:r>
        <w:tab/>
      </w:r>
      <w:r>
        <w:t>Nicky Reeves</w:t>
      </w:r>
      <w:r w:rsidR="44857769">
        <w:t xml:space="preserve">, </w:t>
      </w:r>
      <w:r w:rsidRPr="793FBFE9" w:rsidR="44857769">
        <w:rPr>
          <w:i/>
          <w:iCs/>
        </w:rPr>
        <w:t>Making Museum Work</w:t>
      </w:r>
    </w:p>
    <w:p w:rsidR="006712B6" w:rsidP="793FBFE9" w:rsidRDefault="006712B6" w14:paraId="65245B31" w14:textId="6A47166D">
      <w:pPr>
        <w:ind w:left="720" w:firstLine="720"/>
      </w:pPr>
      <w:r>
        <w:t>Lewis Ryder</w:t>
      </w:r>
      <w:r w:rsidR="2BC5DFF1">
        <w:t xml:space="preserve">, </w:t>
      </w:r>
      <w:r w:rsidRPr="793FBFE9" w:rsidR="2BC5DFF1">
        <w:rPr>
          <w:i/>
          <w:iCs/>
        </w:rPr>
        <w:t xml:space="preserve">The Museum and the Pest: The Contest for Cultural Authority in Early </w:t>
      </w:r>
      <w:r>
        <w:tab/>
      </w:r>
      <w:r w:rsidRPr="793FBFE9" w:rsidR="2BC5DFF1">
        <w:rPr>
          <w:i/>
          <w:iCs/>
        </w:rPr>
        <w:t>Twentieth-Century British Museums</w:t>
      </w:r>
    </w:p>
    <w:p w:rsidR="006712B6" w:rsidP="793FBFE9" w:rsidRDefault="006712B6" w14:paraId="20DB1BEA" w14:textId="2801BF26">
      <w:pPr>
        <w:ind w:left="720" w:firstLine="720"/>
        <w:rPr>
          <w:i/>
          <w:iCs/>
        </w:rPr>
      </w:pPr>
      <w:r>
        <w:t>Samantha Evans</w:t>
      </w:r>
      <w:r w:rsidR="69EA1DBD">
        <w:t xml:space="preserve">, </w:t>
      </w:r>
      <w:r w:rsidRPr="793FBFE9" w:rsidR="69EA1DBD">
        <w:rPr>
          <w:i/>
          <w:iCs/>
        </w:rPr>
        <w:t>The Museum of them and us: boundaries, hierarchies, and class-</w:t>
      </w:r>
      <w:r>
        <w:tab/>
      </w:r>
      <w:r w:rsidRPr="793FBFE9" w:rsidR="69EA1DBD">
        <w:rPr>
          <w:i/>
          <w:iCs/>
        </w:rPr>
        <w:t>based inequality in UK museum work</w:t>
      </w:r>
    </w:p>
    <w:p w:rsidR="006712B6" w:rsidP="793FBFE9" w:rsidRDefault="006712B6" w14:paraId="1D60CE6C" w14:textId="1B56A1D9">
      <w:pPr>
        <w:ind w:left="720" w:firstLine="720"/>
        <w:rPr>
          <w:i/>
          <w:iCs/>
        </w:rPr>
      </w:pPr>
      <w:r>
        <w:t>Jennifer Warren</w:t>
      </w:r>
      <w:r w:rsidR="1F38B3F4">
        <w:t xml:space="preserve">, </w:t>
      </w:r>
      <w:r w:rsidRPr="793FBFE9" w:rsidR="1F38B3F4">
        <w:rPr>
          <w:i/>
          <w:iCs/>
        </w:rPr>
        <w:t xml:space="preserve">Professionalism and The 'Progressive' Art Museum: The Case of </w:t>
      </w:r>
      <w:r>
        <w:tab/>
      </w:r>
      <w:r>
        <w:tab/>
      </w:r>
      <w:r w:rsidRPr="793FBFE9" w:rsidR="1F38B3F4">
        <w:rPr>
          <w:i/>
          <w:iCs/>
        </w:rPr>
        <w:t>MACBA</w:t>
      </w:r>
    </w:p>
    <w:p w:rsidR="006712B6" w:rsidRDefault="006712B6" w14:paraId="25DBC9CC" w14:textId="0D371801">
      <w:pPr>
        <w:rPr>
          <w:b/>
          <w:bCs/>
        </w:rPr>
      </w:pPr>
      <w:r>
        <w:t>5.15-5.30</w:t>
      </w:r>
      <w:r>
        <w:tab/>
      </w:r>
      <w:r w:rsidRPr="793FBFE9">
        <w:rPr>
          <w:b/>
          <w:bCs/>
        </w:rPr>
        <w:t>Final thoughts</w:t>
      </w:r>
    </w:p>
    <w:p w:rsidRPr="00471225" w:rsidR="00471225" w:rsidRDefault="00471225" w14:paraId="15A0876D" w14:textId="2BFB6AA1">
      <w:r>
        <w:rPr>
          <w:b/>
          <w:bCs/>
        </w:rPr>
        <w:tab/>
      </w:r>
      <w:r>
        <w:rPr>
          <w:b/>
          <w:bCs/>
        </w:rPr>
        <w:tab/>
      </w:r>
      <w:r w:rsidRPr="32D8BFF8" w:rsidR="00471225">
        <w:rPr/>
        <w:t xml:space="preserve">Kate Hill and Claire </w:t>
      </w:r>
      <w:r w:rsidRPr="32D8BFF8" w:rsidR="00471225">
        <w:rPr/>
        <w:t>Wintle</w:t>
      </w:r>
    </w:p>
    <w:p w:rsidR="32D8BFF8" w:rsidP="32D8BFF8" w:rsidRDefault="32D8BFF8" w14:paraId="777BB7E4" w14:textId="3D98ED33">
      <w:pPr>
        <w:pStyle w:val="Normal"/>
      </w:pPr>
    </w:p>
    <w:p w:rsidR="32D8BFF8" w:rsidP="32D8BFF8" w:rsidRDefault="32D8BFF8" w14:paraId="60D40F69" w14:textId="6BD24053">
      <w:pPr>
        <w:pStyle w:val="Normal"/>
      </w:pPr>
    </w:p>
    <w:p w:rsidR="32D8BFF8" w:rsidP="32D8BFF8" w:rsidRDefault="32D8BFF8" w14:paraId="75F65E26" w14:textId="119BC760">
      <w:pPr>
        <w:pStyle w:val="Normal"/>
      </w:pPr>
    </w:p>
    <w:p w:rsidR="32D8BFF8" w:rsidP="32D8BFF8" w:rsidRDefault="32D8BFF8" w14:paraId="110514AB" w14:textId="21622A54">
      <w:pPr>
        <w:pStyle w:val="Normal"/>
      </w:pPr>
    </w:p>
    <w:sectPr w:rsidRPr="00471225" w:rsidR="00471225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56b42b57f1f4f33"/>
      <w:footerReference w:type="default" r:id="R7f457fc1288d43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D8BFF8" w:rsidTr="32D8BFF8" w14:paraId="693B8862">
      <w:trPr>
        <w:trHeight w:val="300"/>
      </w:trPr>
      <w:tc>
        <w:tcPr>
          <w:tcW w:w="3005" w:type="dxa"/>
          <w:tcMar/>
        </w:tcPr>
        <w:p w:rsidR="32D8BFF8" w:rsidP="32D8BFF8" w:rsidRDefault="32D8BFF8" w14:paraId="257BC3B4" w14:textId="6E64944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D8BFF8" w:rsidP="32D8BFF8" w:rsidRDefault="32D8BFF8" w14:paraId="2C83B990" w14:textId="578FB0F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D8BFF8" w:rsidP="32D8BFF8" w:rsidRDefault="32D8BFF8" w14:paraId="17568442" w14:textId="2F3EC4B3">
          <w:pPr>
            <w:pStyle w:val="Header"/>
            <w:bidi w:val="0"/>
            <w:ind w:right="-115"/>
            <w:jc w:val="right"/>
          </w:pPr>
        </w:p>
      </w:tc>
    </w:tr>
  </w:tbl>
  <w:p w:rsidR="32D8BFF8" w:rsidP="32D8BFF8" w:rsidRDefault="32D8BFF8" w14:paraId="0B6FE7FF" w14:textId="7DA1985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D8BFF8" w:rsidTr="32D8BFF8" w14:paraId="7269C259">
      <w:trPr>
        <w:trHeight w:val="300"/>
      </w:trPr>
      <w:tc>
        <w:tcPr>
          <w:tcW w:w="3005" w:type="dxa"/>
          <w:tcMar/>
        </w:tcPr>
        <w:p w:rsidR="32D8BFF8" w:rsidP="32D8BFF8" w:rsidRDefault="32D8BFF8" w14:paraId="3851F0BC" w14:textId="0FEF2E8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D8BFF8" w:rsidP="32D8BFF8" w:rsidRDefault="32D8BFF8" w14:paraId="3A840605" w14:textId="31A1717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D8BFF8" w:rsidP="32D8BFF8" w:rsidRDefault="32D8BFF8" w14:paraId="7256788B" w14:textId="4155EB6B">
          <w:pPr>
            <w:pStyle w:val="Header"/>
            <w:bidi w:val="0"/>
            <w:ind w:right="-115"/>
            <w:jc w:val="right"/>
          </w:pPr>
        </w:p>
      </w:tc>
    </w:tr>
  </w:tbl>
  <w:p w:rsidR="32D8BFF8" w:rsidP="32D8BFF8" w:rsidRDefault="32D8BFF8" w14:paraId="0BF2A606" w14:textId="4D9C0E1C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B6"/>
    <w:rsid w:val="000C5FD9"/>
    <w:rsid w:val="00471225"/>
    <w:rsid w:val="005D3F46"/>
    <w:rsid w:val="006712B6"/>
    <w:rsid w:val="008165C8"/>
    <w:rsid w:val="00D544DC"/>
    <w:rsid w:val="0405E3B8"/>
    <w:rsid w:val="06529F6F"/>
    <w:rsid w:val="07541DFA"/>
    <w:rsid w:val="07DED46D"/>
    <w:rsid w:val="0841B8F6"/>
    <w:rsid w:val="0A030036"/>
    <w:rsid w:val="0D761589"/>
    <w:rsid w:val="0E5B64AD"/>
    <w:rsid w:val="0EBCBD52"/>
    <w:rsid w:val="0EEE97E1"/>
    <w:rsid w:val="10692A97"/>
    <w:rsid w:val="10B5AFE5"/>
    <w:rsid w:val="13AE2A0B"/>
    <w:rsid w:val="149D4B9B"/>
    <w:rsid w:val="156602CF"/>
    <w:rsid w:val="16391BFC"/>
    <w:rsid w:val="16ED37C6"/>
    <w:rsid w:val="170A2FFC"/>
    <w:rsid w:val="18C0B5B6"/>
    <w:rsid w:val="1F38B3F4"/>
    <w:rsid w:val="2135D51A"/>
    <w:rsid w:val="221DED0D"/>
    <w:rsid w:val="24544D7F"/>
    <w:rsid w:val="247529FD"/>
    <w:rsid w:val="25558DE6"/>
    <w:rsid w:val="29ED94D7"/>
    <w:rsid w:val="2BC5DFF1"/>
    <w:rsid w:val="2C3EA98A"/>
    <w:rsid w:val="2CC602B3"/>
    <w:rsid w:val="2EBC1659"/>
    <w:rsid w:val="31A7235E"/>
    <w:rsid w:val="32D8BFF8"/>
    <w:rsid w:val="3358565C"/>
    <w:rsid w:val="338ABC40"/>
    <w:rsid w:val="338F06D1"/>
    <w:rsid w:val="34D55C7A"/>
    <w:rsid w:val="34F426BD"/>
    <w:rsid w:val="36C6A793"/>
    <w:rsid w:val="38A315F0"/>
    <w:rsid w:val="38DE31BD"/>
    <w:rsid w:val="3CB3B030"/>
    <w:rsid w:val="3CFF38A2"/>
    <w:rsid w:val="3E7570FB"/>
    <w:rsid w:val="41B98168"/>
    <w:rsid w:val="435551C9"/>
    <w:rsid w:val="44857769"/>
    <w:rsid w:val="463432E1"/>
    <w:rsid w:val="4BEB8710"/>
    <w:rsid w:val="4CB7A85B"/>
    <w:rsid w:val="4E5A0481"/>
    <w:rsid w:val="4FEF1DC2"/>
    <w:rsid w:val="51407F46"/>
    <w:rsid w:val="54C94605"/>
    <w:rsid w:val="56039404"/>
    <w:rsid w:val="5F27D760"/>
    <w:rsid w:val="5F9A7170"/>
    <w:rsid w:val="61AFB693"/>
    <w:rsid w:val="620648ED"/>
    <w:rsid w:val="631829EA"/>
    <w:rsid w:val="6680B445"/>
    <w:rsid w:val="66B7A1FD"/>
    <w:rsid w:val="66F156ED"/>
    <w:rsid w:val="66FA6526"/>
    <w:rsid w:val="69EA1DBD"/>
    <w:rsid w:val="6B076488"/>
    <w:rsid w:val="6E18B242"/>
    <w:rsid w:val="70200A00"/>
    <w:rsid w:val="71A5FAE0"/>
    <w:rsid w:val="71EE0CAD"/>
    <w:rsid w:val="72723ECF"/>
    <w:rsid w:val="72DE74E2"/>
    <w:rsid w:val="74A7A0DD"/>
    <w:rsid w:val="74EC06E3"/>
    <w:rsid w:val="76B3BFC8"/>
    <w:rsid w:val="775DD67A"/>
    <w:rsid w:val="79092AB2"/>
    <w:rsid w:val="793FBFE9"/>
    <w:rsid w:val="7CC338F8"/>
    <w:rsid w:val="7D4C9CDA"/>
    <w:rsid w:val="7F7EF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5853"/>
  <w15:chartTrackingRefBased/>
  <w15:docId w15:val="{127F7597-E58B-45E5-978D-C0A87D916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1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2B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1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2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1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12B6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56b42b57f1f4f33" /><Relationship Type="http://schemas.openxmlformats.org/officeDocument/2006/relationships/footer" Target="footer.xml" Id="R7f457fc1288d43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Hill</dc:creator>
  <keywords/>
  <dc:description/>
  <lastModifiedBy>Kate Hill</lastModifiedBy>
  <revision>4</revision>
  <dcterms:created xsi:type="dcterms:W3CDTF">2023-04-23T11:08:00.0000000Z</dcterms:created>
  <dcterms:modified xsi:type="dcterms:W3CDTF">2023-05-15T13:24:49.8804095Z</dcterms:modified>
</coreProperties>
</file>